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C" w:rsidRDefault="00C14A4C" w:rsidP="001E2996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98218" cy="55799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51" cy="55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19" w:rsidRDefault="002F679B" w:rsidP="00DB601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ENGL295 </w:t>
      </w:r>
      <w:r w:rsidR="000601FF">
        <w:rPr>
          <w:b/>
          <w:sz w:val="32"/>
          <w:szCs w:val="32"/>
        </w:rPr>
        <w:t>PRE-STUDENT TEACHING PLACEMENT</w:t>
      </w:r>
      <w:r w:rsidR="00146B8A" w:rsidRPr="00C50CC3">
        <w:rPr>
          <w:b/>
          <w:sz w:val="32"/>
          <w:szCs w:val="32"/>
        </w:rPr>
        <w:t xml:space="preserve">: </w:t>
      </w:r>
      <w:r w:rsidR="00DB6019">
        <w:rPr>
          <w:b/>
          <w:sz w:val="32"/>
          <w:szCs w:val="32"/>
        </w:rPr>
        <w:t xml:space="preserve"> </w:t>
      </w:r>
    </w:p>
    <w:p w:rsidR="00966FD7" w:rsidRDefault="00146B8A" w:rsidP="00DB6019">
      <w:pPr>
        <w:spacing w:after="0"/>
        <w:jc w:val="center"/>
        <w:rPr>
          <w:b/>
          <w:sz w:val="32"/>
          <w:szCs w:val="32"/>
        </w:rPr>
      </w:pPr>
      <w:r w:rsidRPr="00C50CC3">
        <w:rPr>
          <w:b/>
          <w:sz w:val="32"/>
          <w:szCs w:val="32"/>
        </w:rPr>
        <w:t>CLEARANCE PROCEDURES</w:t>
      </w:r>
    </w:p>
    <w:p w:rsidR="00DB6019" w:rsidRDefault="00DB6019" w:rsidP="00DB6019">
      <w:pPr>
        <w:spacing w:after="0"/>
      </w:pPr>
    </w:p>
    <w:p w:rsidR="00FB08A0" w:rsidRPr="000A1C1F" w:rsidRDefault="00FB08A0" w:rsidP="00C50CC3">
      <w:r w:rsidRPr="000A1C1F">
        <w:t>Dear English Education student,</w:t>
      </w:r>
      <w:r w:rsidR="001E2996">
        <w:tab/>
      </w:r>
      <w:r w:rsidR="001E2996">
        <w:tab/>
      </w:r>
      <w:r w:rsidR="001E2996">
        <w:tab/>
      </w:r>
      <w:r w:rsidR="001E2996">
        <w:tab/>
      </w:r>
      <w:r w:rsidR="001E2996">
        <w:tab/>
      </w:r>
      <w:r w:rsidR="001E2996">
        <w:tab/>
      </w:r>
      <w:r w:rsidR="001E2996">
        <w:tab/>
        <w:t xml:space="preserve">                 November 28, 2012</w:t>
      </w:r>
    </w:p>
    <w:p w:rsidR="00FB08A0" w:rsidRPr="000A1C1F" w:rsidRDefault="00361023" w:rsidP="00C50CC3">
      <w:r w:rsidRPr="000A1C1F">
        <w:t xml:space="preserve">You are receiving this notice because you have enrolled in </w:t>
      </w:r>
      <w:r w:rsidR="00FB08A0" w:rsidRPr="000A1C1F">
        <w:t>ENGL295,</w:t>
      </w:r>
      <w:r w:rsidRPr="000A1C1F">
        <w:t xml:space="preserve"> which </w:t>
      </w:r>
      <w:r w:rsidR="00FB08A0" w:rsidRPr="000A1C1F">
        <w:t>includes</w:t>
      </w:r>
      <w:r w:rsidRPr="000A1C1F">
        <w:t xml:space="preserve"> an </w:t>
      </w:r>
      <w:r w:rsidR="000A1C1F">
        <w:t xml:space="preserve">exciting </w:t>
      </w:r>
      <w:r w:rsidRPr="000A1C1F">
        <w:t>early field placement</w:t>
      </w:r>
      <w:r w:rsidR="000A1C1F">
        <w:t xml:space="preserve"> at Howard High School of Technology in Wilmington, DE</w:t>
      </w:r>
      <w:r w:rsidRPr="000A1C1F">
        <w:t xml:space="preserve">. </w:t>
      </w:r>
      <w:r w:rsidR="00966FD7" w:rsidRPr="000A1C1F">
        <w:t xml:space="preserve"> </w:t>
      </w:r>
      <w:r w:rsidR="003B7E9F">
        <w:t xml:space="preserve">This placement requires you to obtain two clearances, explained below: a TB clearance and a Criminal Background Check. As you know, all clearances are designed to protect school children. </w:t>
      </w:r>
      <w:r w:rsidR="003B7E9F">
        <w:rPr>
          <w:b/>
        </w:rPr>
        <w:t>Please understand that f</w:t>
      </w:r>
      <w:r w:rsidR="00966FD7" w:rsidRPr="000A1C1F">
        <w:rPr>
          <w:b/>
        </w:rPr>
        <w:t xml:space="preserve">ailure to complete </w:t>
      </w:r>
      <w:r w:rsidR="003B7E9F">
        <w:rPr>
          <w:b/>
        </w:rPr>
        <w:t>your</w:t>
      </w:r>
      <w:r w:rsidR="00966FD7" w:rsidRPr="000A1C1F">
        <w:rPr>
          <w:b/>
        </w:rPr>
        <w:t xml:space="preserve"> clea</w:t>
      </w:r>
      <w:r w:rsidR="00146329" w:rsidRPr="000A1C1F">
        <w:rPr>
          <w:b/>
        </w:rPr>
        <w:t xml:space="preserve">rances </w:t>
      </w:r>
      <w:r w:rsidR="00F904E2" w:rsidRPr="000A1C1F">
        <w:rPr>
          <w:b/>
        </w:rPr>
        <w:t xml:space="preserve">by </w:t>
      </w:r>
      <w:r w:rsidR="00F904E2" w:rsidRPr="000A1C1F">
        <w:rPr>
          <w:b/>
          <w:u w:val="single"/>
        </w:rPr>
        <w:t>February 4, 2013</w:t>
      </w:r>
      <w:r w:rsidR="00A11B33" w:rsidRPr="000A1C1F">
        <w:rPr>
          <w:b/>
        </w:rPr>
        <w:t xml:space="preserve"> </w:t>
      </w:r>
      <w:r w:rsidR="00A11B33" w:rsidRPr="000A1C1F">
        <w:rPr>
          <w:b/>
          <w:i/>
          <w:u w:val="single"/>
        </w:rPr>
        <w:t>will</w:t>
      </w:r>
      <w:r w:rsidR="00A11B33" w:rsidRPr="000A1C1F">
        <w:rPr>
          <w:b/>
        </w:rPr>
        <w:t xml:space="preserve"> </w:t>
      </w:r>
      <w:r w:rsidR="00966FD7" w:rsidRPr="000A1C1F">
        <w:rPr>
          <w:b/>
        </w:rPr>
        <w:t xml:space="preserve">result in </w:t>
      </w:r>
      <w:r w:rsidR="00C5366C" w:rsidRPr="000A1C1F">
        <w:rPr>
          <w:b/>
        </w:rPr>
        <w:t>delaying your</w:t>
      </w:r>
      <w:r w:rsidR="00146329" w:rsidRPr="000A1C1F">
        <w:rPr>
          <w:b/>
        </w:rPr>
        <w:t xml:space="preserve"> </w:t>
      </w:r>
      <w:r w:rsidR="00A11B33" w:rsidRPr="000A1C1F">
        <w:rPr>
          <w:b/>
        </w:rPr>
        <w:t xml:space="preserve">placement and </w:t>
      </w:r>
      <w:r w:rsidR="00C5366C" w:rsidRPr="000A1C1F">
        <w:rPr>
          <w:b/>
        </w:rPr>
        <w:t xml:space="preserve">lowering </w:t>
      </w:r>
      <w:r w:rsidR="00966FD7" w:rsidRPr="000A1C1F">
        <w:rPr>
          <w:b/>
        </w:rPr>
        <w:t xml:space="preserve">your </w:t>
      </w:r>
      <w:r w:rsidR="00C5366C" w:rsidRPr="000A1C1F">
        <w:rPr>
          <w:b/>
        </w:rPr>
        <w:t>course grade</w:t>
      </w:r>
      <w:r w:rsidR="00966FD7" w:rsidRPr="000A1C1F">
        <w:rPr>
          <w:b/>
        </w:rPr>
        <w:t>.</w:t>
      </w:r>
      <w:r w:rsidR="00F904E2" w:rsidRPr="000A1C1F">
        <w:rPr>
          <w:b/>
        </w:rPr>
        <w:t xml:space="preserve"> </w:t>
      </w:r>
      <w:r w:rsidR="00C01A68" w:rsidRPr="000A1C1F">
        <w:rPr>
          <w:b/>
        </w:rPr>
        <w:t xml:space="preserve">We </w:t>
      </w:r>
      <w:r w:rsidR="00C01A68" w:rsidRPr="000A1C1F">
        <w:rPr>
          <w:b/>
          <w:i/>
        </w:rPr>
        <w:t>strongly recommend</w:t>
      </w:r>
      <w:r w:rsidR="00C01A68" w:rsidRPr="000A1C1F">
        <w:rPr>
          <w:b/>
        </w:rPr>
        <w:t xml:space="preserve"> that you complete both clearances before leaving campus at the end of the fall semester (last day: </w:t>
      </w:r>
      <w:r w:rsidR="00C01A68" w:rsidRPr="000A1C1F">
        <w:rPr>
          <w:b/>
          <w:u w:val="single"/>
        </w:rPr>
        <w:t>December 14, 2012</w:t>
      </w:r>
      <w:r w:rsidR="00C01A68" w:rsidRPr="000A1C1F">
        <w:rPr>
          <w:b/>
        </w:rPr>
        <w:t>).</w:t>
      </w:r>
      <w:r w:rsidR="00E550C6" w:rsidRPr="000A1C1F">
        <w:t xml:space="preserve"> If you have any questions, contact Kim </w:t>
      </w:r>
      <w:proofErr w:type="spellStart"/>
      <w:r w:rsidR="00E550C6" w:rsidRPr="000A1C1F">
        <w:t>Cavallio</w:t>
      </w:r>
      <w:proofErr w:type="spellEnd"/>
      <w:r w:rsidR="00E550C6" w:rsidRPr="000A1C1F">
        <w:t xml:space="preserve"> at the Office of Clinical Studies (302-831-3000; </w:t>
      </w:r>
      <w:hyperlink r:id="rId7" w:history="1">
        <w:r w:rsidR="00E550C6" w:rsidRPr="000A1C1F">
          <w:rPr>
            <w:rStyle w:val="Hyperlink"/>
          </w:rPr>
          <w:t>cavallio@udel.edu</w:t>
        </w:r>
      </w:hyperlink>
      <w:r w:rsidR="00E550C6" w:rsidRPr="000A1C1F">
        <w:t xml:space="preserve">). </w:t>
      </w:r>
    </w:p>
    <w:p w:rsidR="00FB08A0" w:rsidRPr="000A1C1F" w:rsidRDefault="00FB08A0" w:rsidP="00FB08A0">
      <w:pPr>
        <w:spacing w:after="0"/>
      </w:pPr>
      <w:r w:rsidRPr="000A1C1F">
        <w:t>Thank you in advance for your compliance,</w:t>
      </w:r>
      <w:r w:rsidR="000A1C1F">
        <w:t xml:space="preserve"> and I look forward to working with you this spring!</w:t>
      </w:r>
    </w:p>
    <w:p w:rsidR="00F017D2" w:rsidRDefault="000A1C1F" w:rsidP="00FB08A0">
      <w:pPr>
        <w:spacing w:after="0"/>
      </w:pPr>
      <w:r>
        <w:t>Dr.</w:t>
      </w:r>
      <w:r w:rsidR="00FB08A0" w:rsidRPr="000A1C1F">
        <w:t xml:space="preserve"> Deborah Bieler</w:t>
      </w:r>
    </w:p>
    <w:p w:rsidR="00FB08A0" w:rsidRPr="000A1C1F" w:rsidRDefault="00F017D2" w:rsidP="00FB08A0">
      <w:pPr>
        <w:spacing w:after="0"/>
      </w:pPr>
      <w:r>
        <w:t>Coordinator, English Education Program</w:t>
      </w:r>
    </w:p>
    <w:p w:rsidR="00A41BD5" w:rsidRPr="00F017D2" w:rsidRDefault="00A41BD5" w:rsidP="00FB08A0">
      <w:pPr>
        <w:spacing w:after="0"/>
        <w:rPr>
          <w:b/>
          <w:sz w:val="12"/>
        </w:rPr>
      </w:pPr>
    </w:p>
    <w:p w:rsidR="00146329" w:rsidRPr="00146329" w:rsidRDefault="00C5366C" w:rsidP="00146329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Part 1: </w:t>
      </w:r>
      <w:r w:rsidR="00C50CC3" w:rsidRPr="00C50CC3">
        <w:rPr>
          <w:sz w:val="28"/>
          <w:szCs w:val="28"/>
          <w:u w:val="single"/>
        </w:rPr>
        <w:t>TB CLEARANCES</w:t>
      </w:r>
    </w:p>
    <w:p w:rsidR="00816714" w:rsidRDefault="00146329" w:rsidP="00BD29F2">
      <w:pPr>
        <w:pStyle w:val="ListParagraph"/>
        <w:numPr>
          <w:ilvl w:val="0"/>
          <w:numId w:val="1"/>
        </w:numPr>
      </w:pPr>
      <w:r>
        <w:t xml:space="preserve">To enter </w:t>
      </w:r>
      <w:r w:rsidR="00816714">
        <w:t>your field placement site</w:t>
      </w:r>
      <w:r>
        <w:t xml:space="preserve">, you must have </w:t>
      </w:r>
      <w:r w:rsidR="00C50CC3" w:rsidRPr="001F5705">
        <w:t>a TB test, also referred to as a PPD test.</w:t>
      </w:r>
      <w:r>
        <w:t xml:space="preserve"> </w:t>
      </w:r>
    </w:p>
    <w:p w:rsidR="00816714" w:rsidRDefault="00465A41" w:rsidP="00BD29F2">
      <w:pPr>
        <w:pStyle w:val="ListParagraph"/>
        <w:numPr>
          <w:ilvl w:val="0"/>
          <w:numId w:val="1"/>
        </w:numPr>
      </w:pPr>
      <w:r>
        <w:t>The Office of Clinical Studies must have documentation</w:t>
      </w:r>
      <w:r w:rsidR="0016034E">
        <w:t xml:space="preserve"> from the Student Health Center that you have </w:t>
      </w:r>
      <w:r w:rsidR="00A11B33">
        <w:t>a recent (within 3</w:t>
      </w:r>
      <w:r w:rsidR="0057152D">
        <w:t xml:space="preserve"> year</w:t>
      </w:r>
      <w:r w:rsidR="00A11B33">
        <w:t>s</w:t>
      </w:r>
      <w:r w:rsidR="0057152D">
        <w:t xml:space="preserve">) </w:t>
      </w:r>
      <w:r w:rsidR="00BD29F2" w:rsidRPr="001F5705">
        <w:t>PPD negative test result</w:t>
      </w:r>
      <w:r w:rsidR="0016034E">
        <w:t xml:space="preserve"> prior to </w:t>
      </w:r>
      <w:r w:rsidR="00816714">
        <w:t xml:space="preserve">February 4, 2013, though, again, we recommend that you complete this clearance </w:t>
      </w:r>
      <w:r w:rsidR="006D0FBA">
        <w:t xml:space="preserve">on campus, </w:t>
      </w:r>
      <w:r w:rsidR="00816714">
        <w:t xml:space="preserve">two days before you leave </w:t>
      </w:r>
      <w:r w:rsidR="006D0FBA">
        <w:t>for winter break</w:t>
      </w:r>
      <w:r w:rsidR="00816714">
        <w:t xml:space="preserve">, as it involves going to the Health Center </w:t>
      </w:r>
      <w:r w:rsidR="0076157D">
        <w:t>twice, two days apart</w:t>
      </w:r>
      <w:r w:rsidR="00816714">
        <w:t>.</w:t>
      </w:r>
    </w:p>
    <w:p w:rsidR="00BD29F2" w:rsidRDefault="0016034E" w:rsidP="00BD29F2">
      <w:pPr>
        <w:pStyle w:val="ListParagraph"/>
        <w:numPr>
          <w:ilvl w:val="0"/>
          <w:numId w:val="1"/>
        </w:numPr>
      </w:pPr>
      <w:r>
        <w:t>No negative te</w:t>
      </w:r>
      <w:r w:rsidR="00A11B33">
        <w:t xml:space="preserve">st results equals </w:t>
      </w:r>
      <w:proofErr w:type="gramStart"/>
      <w:r w:rsidR="00A11B33">
        <w:t>no</w:t>
      </w:r>
      <w:proofErr w:type="gramEnd"/>
      <w:r w:rsidR="00A11B33">
        <w:t xml:space="preserve"> placement</w:t>
      </w:r>
      <w:r w:rsidR="00816714">
        <w:t>.</w:t>
      </w:r>
    </w:p>
    <w:p w:rsidR="00CA5D8E" w:rsidRPr="00F017D2" w:rsidRDefault="00CA5D8E" w:rsidP="00CA5D8E">
      <w:pPr>
        <w:pStyle w:val="ListParagraph"/>
        <w:rPr>
          <w:sz w:val="12"/>
        </w:rPr>
      </w:pPr>
    </w:p>
    <w:p w:rsidR="00BD29F2" w:rsidRPr="0016034E" w:rsidRDefault="00BD29F2" w:rsidP="00BD29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16034E">
        <w:rPr>
          <w:b/>
          <w:u w:val="single"/>
        </w:rPr>
        <w:t>Procedures for</w:t>
      </w:r>
      <w:r w:rsidR="0016034E">
        <w:rPr>
          <w:b/>
          <w:u w:val="single"/>
        </w:rPr>
        <w:t xml:space="preserve"> a TB c</w:t>
      </w:r>
      <w:r w:rsidR="0016034E" w:rsidRPr="0016034E">
        <w:rPr>
          <w:b/>
          <w:u w:val="single"/>
        </w:rPr>
        <w:t>learance</w:t>
      </w:r>
      <w:r w:rsidRPr="0016034E">
        <w:rPr>
          <w:b/>
          <w:u w:val="single"/>
        </w:rPr>
        <w:t xml:space="preserve"> from Student Health</w:t>
      </w:r>
      <w:r w:rsidR="0016034E">
        <w:rPr>
          <w:b/>
          <w:u w:val="single"/>
        </w:rPr>
        <w:t xml:space="preserve"> Center</w:t>
      </w:r>
    </w:p>
    <w:p w:rsidR="0057152D" w:rsidRDefault="00A11B33" w:rsidP="0057152D">
      <w:pPr>
        <w:pStyle w:val="ListParagraph"/>
        <w:numPr>
          <w:ilvl w:val="1"/>
          <w:numId w:val="2"/>
        </w:numPr>
      </w:pPr>
      <w:r>
        <w:t>You may wish to contact</w:t>
      </w:r>
      <w:r w:rsidR="00BD29F2" w:rsidRPr="001F5705">
        <w:t xml:space="preserve"> </w:t>
      </w:r>
      <w:r w:rsidR="0016034E">
        <w:t xml:space="preserve">the </w:t>
      </w:r>
      <w:r w:rsidR="00BD29F2" w:rsidRPr="001F5705">
        <w:t>Student Health</w:t>
      </w:r>
      <w:r>
        <w:t xml:space="preserve"> Center in order</w:t>
      </w:r>
      <w:r w:rsidR="0016034E">
        <w:t xml:space="preserve"> to complete you</w:t>
      </w:r>
      <w:r w:rsidR="00BD29F2" w:rsidRPr="001F5705">
        <w:t>r TB screening</w:t>
      </w:r>
      <w:r w:rsidR="0016034E">
        <w:t xml:space="preserve">. </w:t>
      </w:r>
    </w:p>
    <w:p w:rsidR="00190D11" w:rsidRDefault="0016034E" w:rsidP="00BD29F2">
      <w:pPr>
        <w:pStyle w:val="ListParagraph"/>
        <w:numPr>
          <w:ilvl w:val="1"/>
          <w:numId w:val="2"/>
        </w:numPr>
      </w:pPr>
      <w:r>
        <w:t>C</w:t>
      </w:r>
      <w:r w:rsidR="00BD29F2" w:rsidRPr="001F5705">
        <w:t xml:space="preserve">ontact </w:t>
      </w:r>
      <w:r w:rsidR="00190D11">
        <w:t xml:space="preserve">the </w:t>
      </w:r>
      <w:r w:rsidR="00BD29F2" w:rsidRPr="001F5705">
        <w:t>Student Health</w:t>
      </w:r>
      <w:r w:rsidR="00190D11">
        <w:t xml:space="preserve"> Center</w:t>
      </w:r>
      <w:r w:rsidR="00BD29F2" w:rsidRPr="001F5705">
        <w:t xml:space="preserve"> by emailing </w:t>
      </w:r>
      <w:hyperlink r:id="rId8" w:history="1">
        <w:r w:rsidR="00BD29F2" w:rsidRPr="001F5705">
          <w:rPr>
            <w:rStyle w:val="Hyperlink"/>
          </w:rPr>
          <w:t>www.udel.edu/studenthealth/</w:t>
        </w:r>
      </w:hyperlink>
      <w:r w:rsidR="008C1475">
        <w:t xml:space="preserve"> or calling</w:t>
      </w:r>
      <w:r w:rsidR="00BD29F2" w:rsidRPr="001F5705">
        <w:t xml:space="preserve"> </w:t>
      </w:r>
    </w:p>
    <w:p w:rsidR="00BD29F2" w:rsidRPr="001F5705" w:rsidRDefault="00190D11" w:rsidP="00190D11">
      <w:pPr>
        <w:pStyle w:val="ListParagraph"/>
        <w:ind w:left="1440"/>
      </w:pPr>
      <w:r w:rsidRPr="001F5705">
        <w:t>831-2226</w:t>
      </w:r>
      <w:r>
        <w:t xml:space="preserve"> to make an appointment</w:t>
      </w:r>
      <w:r w:rsidR="00BD29F2" w:rsidRPr="001F5705">
        <w:t>.</w:t>
      </w:r>
    </w:p>
    <w:p w:rsidR="003B7E9F" w:rsidRDefault="00BD29F2" w:rsidP="003B7E9F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816714">
        <w:rPr>
          <w:b/>
          <w:u w:val="single"/>
        </w:rPr>
        <w:t>After the ini</w:t>
      </w:r>
      <w:r w:rsidR="008C1475" w:rsidRPr="00816714">
        <w:rPr>
          <w:b/>
          <w:u w:val="single"/>
        </w:rPr>
        <w:t xml:space="preserve">tial test is completed, </w:t>
      </w:r>
      <w:r w:rsidR="00190D11" w:rsidRPr="00816714">
        <w:rPr>
          <w:b/>
          <w:u w:val="single"/>
        </w:rPr>
        <w:t>you</w:t>
      </w:r>
      <w:r w:rsidRPr="00816714">
        <w:rPr>
          <w:b/>
          <w:u w:val="single"/>
        </w:rPr>
        <w:t xml:space="preserve"> must return</w:t>
      </w:r>
      <w:r w:rsidR="00190D11" w:rsidRPr="00816714">
        <w:rPr>
          <w:b/>
          <w:u w:val="single"/>
        </w:rPr>
        <w:t xml:space="preserve"> to the Student Health Center</w:t>
      </w:r>
      <w:r w:rsidRPr="00816714">
        <w:rPr>
          <w:b/>
          <w:u w:val="single"/>
        </w:rPr>
        <w:t xml:space="preserve"> within 2 days in order </w:t>
      </w:r>
      <w:r w:rsidR="001F5705" w:rsidRPr="00816714">
        <w:rPr>
          <w:b/>
          <w:u w:val="single"/>
        </w:rPr>
        <w:t xml:space="preserve">to have the test read. </w:t>
      </w:r>
    </w:p>
    <w:p w:rsidR="00A11B33" w:rsidRPr="00F017D2" w:rsidRDefault="00A11B33" w:rsidP="003B7E9F">
      <w:pPr>
        <w:spacing w:after="0"/>
        <w:ind w:left="1080"/>
        <w:rPr>
          <w:b/>
          <w:sz w:val="12"/>
          <w:u w:val="single"/>
        </w:rPr>
      </w:pPr>
    </w:p>
    <w:p w:rsidR="003B7E9F" w:rsidRPr="0016034E" w:rsidRDefault="003B7E9F" w:rsidP="003B7E9F">
      <w:pPr>
        <w:pStyle w:val="ListParagraph"/>
        <w:numPr>
          <w:ilvl w:val="0"/>
          <w:numId w:val="2"/>
        </w:numPr>
        <w:rPr>
          <w:b/>
          <w:u w:val="single"/>
        </w:rPr>
      </w:pPr>
      <w:r w:rsidRPr="0016034E">
        <w:rPr>
          <w:b/>
          <w:u w:val="single"/>
        </w:rPr>
        <w:t>For a TB clearance completed off-campus</w:t>
      </w:r>
    </w:p>
    <w:p w:rsidR="003B7E9F" w:rsidRPr="001F5705" w:rsidRDefault="003B7E9F" w:rsidP="003B7E9F">
      <w:pPr>
        <w:pStyle w:val="ListParagraph"/>
        <w:numPr>
          <w:ilvl w:val="1"/>
          <w:numId w:val="2"/>
        </w:numPr>
      </w:pPr>
      <w:r w:rsidRPr="001F5705">
        <w:t>The</w:t>
      </w:r>
      <w:r>
        <w:t xml:space="preserve"> doctor must provide you</w:t>
      </w:r>
      <w:r w:rsidRPr="001F5705">
        <w:t xml:space="preserve"> with documentation noting the reading of a negative test result</w:t>
      </w:r>
    </w:p>
    <w:p w:rsidR="003B7E9F" w:rsidRDefault="003B7E9F" w:rsidP="003B7E9F">
      <w:pPr>
        <w:pStyle w:val="ListParagraph"/>
        <w:numPr>
          <w:ilvl w:val="1"/>
          <w:numId w:val="2"/>
        </w:numPr>
        <w:spacing w:after="0"/>
      </w:pPr>
      <w:r>
        <w:t>You must take</w:t>
      </w:r>
      <w:r w:rsidRPr="001F5705">
        <w:t xml:space="preserve"> the document to Student Health</w:t>
      </w:r>
      <w:r>
        <w:t xml:space="preserve"> by February 4, 2013.</w:t>
      </w:r>
    </w:p>
    <w:p w:rsidR="003B7E9F" w:rsidRPr="00F017D2" w:rsidRDefault="003B7E9F" w:rsidP="003B7E9F">
      <w:pPr>
        <w:spacing w:after="0"/>
        <w:ind w:left="360"/>
        <w:rPr>
          <w:sz w:val="12"/>
        </w:rPr>
      </w:pPr>
    </w:p>
    <w:p w:rsidR="001F5705" w:rsidRPr="00C5366C" w:rsidRDefault="00C5366C" w:rsidP="001F57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Part 2: </w:t>
      </w:r>
      <w:r w:rsidR="001F5705" w:rsidRPr="00C5366C">
        <w:rPr>
          <w:sz w:val="28"/>
          <w:szCs w:val="28"/>
          <w:u w:val="single"/>
        </w:rPr>
        <w:t>CRIMINAL BACKGROUND CLEARANCES</w:t>
      </w:r>
    </w:p>
    <w:p w:rsidR="00190D11" w:rsidRDefault="00A11B33" w:rsidP="00190D1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OFFICE OF CLINICAL STUDIES</w:t>
      </w:r>
      <w:r w:rsidR="00190D11">
        <w:rPr>
          <w:sz w:val="24"/>
          <w:szCs w:val="24"/>
          <w:u w:val="single"/>
        </w:rPr>
        <w:t xml:space="preserve"> RECOMMENDS THAT YOU PRINT A COPY OF THESE DIRECTIONS PRIOR TO BEGINNING THE CRIMINAL BACKGROUND CLEARANCE PROCESS.</w:t>
      </w:r>
    </w:p>
    <w:p w:rsidR="003F0BF7" w:rsidRPr="002B691F" w:rsidRDefault="003F0BF7" w:rsidP="00317AE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lastRenderedPageBreak/>
        <w:t xml:space="preserve">The University of Delaware has contracted </w:t>
      </w:r>
      <w:r w:rsidR="003B6B4A">
        <w:t>with</w:t>
      </w:r>
      <w:r>
        <w:t xml:space="preserve"> AISS to provide the criminal background check for </w:t>
      </w:r>
      <w:r w:rsidR="002B691F">
        <w:t>students</w:t>
      </w:r>
      <w:r w:rsidR="00A11B33">
        <w:t xml:space="preserve"> like you, </w:t>
      </w:r>
      <w:r w:rsidR="002B691F">
        <w:t xml:space="preserve">who </w:t>
      </w:r>
      <w:r w:rsidR="003B6B4A">
        <w:t xml:space="preserve">have registered for a course with an early field placement. </w:t>
      </w:r>
    </w:p>
    <w:p w:rsidR="00317AE1" w:rsidRPr="00317AE1" w:rsidRDefault="00016B7B" w:rsidP="00317AE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The standard cost</w:t>
      </w:r>
      <w:r w:rsidR="003B6B4A">
        <w:t xml:space="preserve"> to you</w:t>
      </w:r>
      <w:r>
        <w:t xml:space="preserve"> for the</w:t>
      </w:r>
      <w:r w:rsidR="003B6B4A">
        <w:t xml:space="preserve"> mandatory criminal</w:t>
      </w:r>
      <w:r w:rsidR="00180D86">
        <w:t xml:space="preserve"> background check is $23.50.</w:t>
      </w:r>
      <w:r w:rsidR="002F679B">
        <w:t xml:space="preserve"> (Please note that </w:t>
      </w:r>
      <w:proofErr w:type="gramStart"/>
      <w:r w:rsidR="002F679B">
        <w:t>this cost will be offset by the course’s low textbook/materials fees</w:t>
      </w:r>
      <w:proofErr w:type="gramEnd"/>
      <w:r w:rsidR="002F679B">
        <w:t>.)</w:t>
      </w:r>
    </w:p>
    <w:p w:rsidR="00317AE1" w:rsidRPr="00F017D2" w:rsidRDefault="00317AE1" w:rsidP="00317AE1">
      <w:pPr>
        <w:spacing w:after="0"/>
        <w:ind w:left="360"/>
        <w:rPr>
          <w:b/>
          <w:sz w:val="12"/>
          <w:u w:val="single"/>
        </w:rPr>
      </w:pPr>
    </w:p>
    <w:p w:rsidR="00612799" w:rsidRPr="00C5366C" w:rsidRDefault="00C5366C" w:rsidP="00317AE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16034E">
        <w:rPr>
          <w:b/>
          <w:u w:val="single"/>
        </w:rPr>
        <w:t xml:space="preserve">Procedures </w:t>
      </w:r>
      <w:r>
        <w:rPr>
          <w:b/>
          <w:u w:val="single"/>
        </w:rPr>
        <w:t>to obtain your Criminal Background Clearance</w:t>
      </w:r>
    </w:p>
    <w:p w:rsidR="006B1989" w:rsidRPr="00612799" w:rsidRDefault="00317AE1" w:rsidP="00317AE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Log</w:t>
      </w:r>
      <w:r w:rsidR="006B1989">
        <w:t xml:space="preserve"> on to the URL at:</w:t>
      </w:r>
    </w:p>
    <w:p w:rsidR="006B1989" w:rsidRDefault="00A16DC3" w:rsidP="006B1989">
      <w:pPr>
        <w:pStyle w:val="ListParagraph"/>
      </w:pPr>
      <w:hyperlink r:id="rId9" w:history="1">
        <w:r w:rsidR="006B1989">
          <w:rPr>
            <w:rStyle w:val="Hyperlink"/>
          </w:rPr>
          <w:t>https://smwreports.sterlingdirect.com/consumer/contractor.asp</w:t>
        </w:r>
      </w:hyperlink>
      <w:r w:rsidR="0057152D">
        <w:t>.</w:t>
      </w:r>
    </w:p>
    <w:p w:rsidR="006B1989" w:rsidRPr="006B1989" w:rsidRDefault="00E27424" w:rsidP="006B1989">
      <w:pPr>
        <w:pStyle w:val="ListParagraph"/>
        <w:numPr>
          <w:ilvl w:val="0"/>
          <w:numId w:val="2"/>
        </w:numPr>
      </w:pPr>
      <w:r>
        <w:t xml:space="preserve">You will be asked to insert the partner code. </w:t>
      </w:r>
      <w:r w:rsidR="006B1989">
        <w:t>The partner code is: UNIV6545</w:t>
      </w:r>
    </w:p>
    <w:p w:rsidR="002B691F" w:rsidRPr="002B691F" w:rsidRDefault="002B691F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Upon entering the site, a </w:t>
      </w:r>
      <w:proofErr w:type="gramStart"/>
      <w:r>
        <w:t>page which details the consumer release</w:t>
      </w:r>
      <w:proofErr w:type="gramEnd"/>
      <w:r>
        <w:t xml:space="preserve"> is opened. The student then clicks on “CONSENT FORM” to review the conditions of consent. This may be either printed or reviewed without printing before closing.</w:t>
      </w:r>
      <w:r w:rsidR="00E73A5C">
        <w:t xml:space="preserve"> </w:t>
      </w:r>
      <w:r w:rsidR="00E73A5C" w:rsidRPr="002C2A8D">
        <w:rPr>
          <w:u w:val="single"/>
        </w:rPr>
        <w:t>The page must be closed in order to proceed</w:t>
      </w:r>
      <w:r w:rsidR="00E73A5C">
        <w:t>.</w:t>
      </w:r>
    </w:p>
    <w:p w:rsidR="002B691F" w:rsidRPr="00B07182" w:rsidRDefault="00E73A5C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>The INTIAL CONSUMER RELEASE page will open</w:t>
      </w:r>
      <w:r w:rsidR="002C2A8D">
        <w:t>. You</w:t>
      </w:r>
      <w:r w:rsidR="00B07182">
        <w:t xml:space="preserve"> must </w:t>
      </w:r>
      <w:r w:rsidR="00B07182" w:rsidRPr="00B07182">
        <w:t>click</w:t>
      </w:r>
      <w:r w:rsidR="00B07182">
        <w:rPr>
          <w:b/>
        </w:rPr>
        <w:t xml:space="preserve"> I </w:t>
      </w:r>
      <w:r w:rsidR="00B07182" w:rsidRPr="00B07182">
        <w:rPr>
          <w:b/>
        </w:rPr>
        <w:t>agree</w:t>
      </w:r>
      <w:r w:rsidR="00B07182">
        <w:t>.</w:t>
      </w:r>
    </w:p>
    <w:p w:rsidR="00B07182" w:rsidRPr="0082793A" w:rsidRDefault="00B07182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>The CONSUMER REPORT AND INVESTIGATIVE CONSUMER REPORT INFO</w:t>
      </w:r>
      <w:r w:rsidR="002C2A8D">
        <w:t>RM</w:t>
      </w:r>
      <w:r>
        <w:t xml:space="preserve">ATION will open with an overlay entitled “Getting Started”. </w:t>
      </w:r>
      <w:r w:rsidR="002C2A8D">
        <w:t xml:space="preserve">Click </w:t>
      </w:r>
      <w:proofErr w:type="gramStart"/>
      <w:r>
        <w:rPr>
          <w:b/>
        </w:rPr>
        <w:t>Next</w:t>
      </w:r>
      <w:proofErr w:type="gramEnd"/>
      <w:r w:rsidR="0082793A">
        <w:t xml:space="preserve"> indicate the date by clicking </w:t>
      </w:r>
      <w:r w:rsidR="0082793A">
        <w:rPr>
          <w:b/>
        </w:rPr>
        <w:t xml:space="preserve">Apply </w:t>
      </w:r>
      <w:r w:rsidR="0082793A">
        <w:t>and the</w:t>
      </w:r>
      <w:r w:rsidR="0057152D">
        <w:t>n</w:t>
      </w:r>
      <w:r w:rsidR="0082793A">
        <w:t xml:space="preserve"> clicking </w:t>
      </w:r>
      <w:r w:rsidR="0082793A">
        <w:rPr>
          <w:b/>
        </w:rPr>
        <w:t>Next.</w:t>
      </w:r>
    </w:p>
    <w:p w:rsidR="0082793A" w:rsidRPr="0082793A" w:rsidRDefault="0082793A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next overlay will allow </w:t>
      </w:r>
      <w:r w:rsidR="002C2A8D">
        <w:t>you</w:t>
      </w:r>
      <w:r>
        <w:t xml:space="preserve"> to provide an electronic signature. With the cursor</w:t>
      </w:r>
      <w:r w:rsidR="0057152D">
        <w:t xml:space="preserve"> placed</w:t>
      </w:r>
      <w:r>
        <w:t xml:space="preserve"> in the box, </w:t>
      </w:r>
      <w:r w:rsidR="002C2A8D">
        <w:t xml:space="preserve">left </w:t>
      </w:r>
      <w:r>
        <w:t>cli</w:t>
      </w:r>
      <w:r w:rsidR="002C2A8D">
        <w:t>ck the mouse while signing your</w:t>
      </w:r>
      <w:r>
        <w:t xml:space="preserve"> name. When the signature is complete, click </w:t>
      </w:r>
      <w:r>
        <w:rPr>
          <w:b/>
        </w:rPr>
        <w:t xml:space="preserve">Apply </w:t>
      </w:r>
      <w:r>
        <w:t xml:space="preserve">and then click </w:t>
      </w:r>
      <w:proofErr w:type="gramStart"/>
      <w:r>
        <w:rPr>
          <w:b/>
        </w:rPr>
        <w:t>Next</w:t>
      </w:r>
      <w:proofErr w:type="gramEnd"/>
      <w:r>
        <w:t>.</w:t>
      </w:r>
    </w:p>
    <w:p w:rsidR="0082793A" w:rsidRPr="0082793A" w:rsidRDefault="0082793A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next page indicates that </w:t>
      </w:r>
      <w:r w:rsidR="002C2A8D">
        <w:t>you</w:t>
      </w:r>
      <w:r>
        <w:t xml:space="preserve"> must click </w:t>
      </w:r>
      <w:r>
        <w:rPr>
          <w:b/>
        </w:rPr>
        <w:t>P</w:t>
      </w:r>
      <w:r w:rsidR="00041E7E">
        <w:rPr>
          <w:b/>
        </w:rPr>
        <w:t>ROCEED</w:t>
      </w:r>
      <w:r>
        <w:t xml:space="preserve"> in order to </w:t>
      </w:r>
      <w:r w:rsidR="00041E7E">
        <w:t>finish the screening request</w:t>
      </w:r>
      <w:r>
        <w:t>.</w:t>
      </w:r>
    </w:p>
    <w:p w:rsidR="00041E7E" w:rsidRPr="00041E7E" w:rsidRDefault="0082793A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="00041E7E">
        <w:t xml:space="preserve">The following page will require </w:t>
      </w:r>
      <w:r w:rsidR="002C2A8D">
        <w:t xml:space="preserve">you </w:t>
      </w:r>
      <w:r w:rsidR="00041E7E">
        <w:t>to provide pers</w:t>
      </w:r>
      <w:r w:rsidR="002C2A8D">
        <w:t>onal information including the following</w:t>
      </w:r>
      <w:r w:rsidR="00041E7E">
        <w:t>:</w:t>
      </w:r>
    </w:p>
    <w:p w:rsidR="00041E7E" w:rsidRPr="00041E7E" w:rsidRDefault="00041E7E" w:rsidP="00041E7E">
      <w:pPr>
        <w:pStyle w:val="ListParagraph"/>
        <w:numPr>
          <w:ilvl w:val="1"/>
          <w:numId w:val="2"/>
        </w:numPr>
        <w:rPr>
          <w:u w:val="single"/>
        </w:rPr>
      </w:pPr>
      <w:r>
        <w:t>Name</w:t>
      </w:r>
    </w:p>
    <w:p w:rsidR="00041E7E" w:rsidRPr="00041E7E" w:rsidRDefault="00041E7E" w:rsidP="00041E7E">
      <w:pPr>
        <w:pStyle w:val="ListParagraph"/>
        <w:numPr>
          <w:ilvl w:val="1"/>
          <w:numId w:val="2"/>
        </w:numPr>
        <w:rPr>
          <w:u w:val="single"/>
        </w:rPr>
      </w:pPr>
      <w:r>
        <w:t>Permanent Address</w:t>
      </w:r>
    </w:p>
    <w:p w:rsidR="00041E7E" w:rsidRPr="00041E7E" w:rsidRDefault="00041E7E" w:rsidP="00041E7E">
      <w:pPr>
        <w:pStyle w:val="ListParagraph"/>
        <w:numPr>
          <w:ilvl w:val="1"/>
          <w:numId w:val="2"/>
        </w:numPr>
        <w:rPr>
          <w:u w:val="single"/>
        </w:rPr>
      </w:pPr>
      <w:r>
        <w:t>Social Security Number</w:t>
      </w:r>
    </w:p>
    <w:p w:rsidR="00041E7E" w:rsidRPr="00041E7E" w:rsidRDefault="00041E7E" w:rsidP="00041E7E">
      <w:pPr>
        <w:pStyle w:val="ListParagraph"/>
        <w:numPr>
          <w:ilvl w:val="1"/>
          <w:numId w:val="2"/>
        </w:numPr>
        <w:rPr>
          <w:u w:val="single"/>
        </w:rPr>
      </w:pPr>
      <w:r>
        <w:t>Date of Birth</w:t>
      </w:r>
    </w:p>
    <w:p w:rsidR="00041E7E" w:rsidRPr="00041E7E" w:rsidRDefault="00041E7E" w:rsidP="00041E7E">
      <w:pPr>
        <w:pStyle w:val="ListParagraph"/>
        <w:numPr>
          <w:ilvl w:val="1"/>
          <w:numId w:val="2"/>
        </w:numPr>
        <w:rPr>
          <w:u w:val="single"/>
        </w:rPr>
      </w:pPr>
      <w:r>
        <w:t>Phone Number</w:t>
      </w:r>
    </w:p>
    <w:p w:rsidR="002C2A8D" w:rsidRPr="002C2A8D" w:rsidRDefault="00041E7E" w:rsidP="002C2A8D">
      <w:pPr>
        <w:pStyle w:val="ListParagraph"/>
        <w:numPr>
          <w:ilvl w:val="1"/>
          <w:numId w:val="2"/>
        </w:numPr>
        <w:rPr>
          <w:u w:val="single"/>
        </w:rPr>
      </w:pPr>
      <w:r>
        <w:t>Email Address</w:t>
      </w:r>
    </w:p>
    <w:p w:rsidR="0082793A" w:rsidRPr="00317AE1" w:rsidRDefault="00041E7E" w:rsidP="00317AE1">
      <w:pPr>
        <w:pStyle w:val="ListParagraph"/>
        <w:numPr>
          <w:ilvl w:val="0"/>
          <w:numId w:val="2"/>
        </w:numPr>
        <w:rPr>
          <w:u w:val="single"/>
        </w:rPr>
      </w:pPr>
      <w:r>
        <w:t>Upon completion</w:t>
      </w:r>
      <w:r w:rsidR="00317AE1">
        <w:t>,</w:t>
      </w:r>
      <w:r>
        <w:t xml:space="preserve"> </w:t>
      </w:r>
      <w:proofErr w:type="gramStart"/>
      <w:r>
        <w:t xml:space="preserve">click </w:t>
      </w:r>
      <w:r w:rsidRPr="00317AE1">
        <w:rPr>
          <w:b/>
        </w:rPr>
        <w:t>SUBMIT</w:t>
      </w:r>
      <w:proofErr w:type="gramEnd"/>
      <w:r w:rsidRPr="00317AE1">
        <w:rPr>
          <w:b/>
        </w:rPr>
        <w:t>.</w:t>
      </w:r>
    </w:p>
    <w:p w:rsidR="00016B7B" w:rsidRPr="00016B7B" w:rsidRDefault="00041E7E" w:rsidP="002B691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next page of the application is the PAYMENT page. </w:t>
      </w:r>
      <w:r w:rsidR="002C2A8D">
        <w:t>Be</w:t>
      </w:r>
      <w:r>
        <w:t xml:space="preserve"> prepared to use a credit card for payment. </w:t>
      </w:r>
      <w:r w:rsidR="002C2A8D">
        <w:t xml:space="preserve">You </w:t>
      </w:r>
      <w:r>
        <w:t>will be asked to provide the</w:t>
      </w:r>
      <w:r w:rsidR="00016B7B">
        <w:t>:</w:t>
      </w:r>
    </w:p>
    <w:p w:rsidR="00016B7B" w:rsidRPr="00016B7B" w:rsidRDefault="00016B7B" w:rsidP="00016B7B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 </w:t>
      </w:r>
      <w:proofErr w:type="gramStart"/>
      <w:r>
        <w:t>name</w:t>
      </w:r>
      <w:proofErr w:type="gramEnd"/>
      <w:r>
        <w:t xml:space="preserve"> on the credit card</w:t>
      </w:r>
      <w:r>
        <w:tab/>
      </w:r>
    </w:p>
    <w:p w:rsidR="00016B7B" w:rsidRPr="00016B7B" w:rsidRDefault="00041E7E" w:rsidP="00016B7B">
      <w:pPr>
        <w:pStyle w:val="ListParagraph"/>
        <w:numPr>
          <w:ilvl w:val="1"/>
          <w:numId w:val="2"/>
        </w:numPr>
        <w:rPr>
          <w:u w:val="single"/>
        </w:rPr>
      </w:pPr>
      <w:proofErr w:type="gramStart"/>
      <w:r>
        <w:t>bil</w:t>
      </w:r>
      <w:r w:rsidR="00016B7B">
        <w:t>ling</w:t>
      </w:r>
      <w:proofErr w:type="gramEnd"/>
      <w:r w:rsidR="00016B7B">
        <w:t xml:space="preserve"> address of the credit card</w:t>
      </w:r>
      <w:r>
        <w:t xml:space="preserve"> </w:t>
      </w:r>
    </w:p>
    <w:p w:rsidR="00041E7E" w:rsidRPr="00016B7B" w:rsidRDefault="00041E7E" w:rsidP="00016B7B">
      <w:pPr>
        <w:pStyle w:val="ListParagraph"/>
        <w:numPr>
          <w:ilvl w:val="1"/>
          <w:numId w:val="2"/>
        </w:numPr>
        <w:rPr>
          <w:u w:val="single"/>
        </w:rPr>
      </w:pPr>
      <w:proofErr w:type="gramStart"/>
      <w:r>
        <w:t>credit</w:t>
      </w:r>
      <w:proofErr w:type="gramEnd"/>
      <w:r>
        <w:t xml:space="preserve"> c</w:t>
      </w:r>
      <w:r w:rsidR="00016B7B">
        <w:t>ard type</w:t>
      </w:r>
    </w:p>
    <w:p w:rsidR="00016B7B" w:rsidRPr="00016B7B" w:rsidRDefault="00016B7B" w:rsidP="00016B7B">
      <w:pPr>
        <w:pStyle w:val="ListParagraph"/>
        <w:numPr>
          <w:ilvl w:val="1"/>
          <w:numId w:val="2"/>
        </w:numPr>
        <w:rPr>
          <w:u w:val="single"/>
        </w:rPr>
      </w:pPr>
      <w:proofErr w:type="gramStart"/>
      <w:r>
        <w:t>credit</w:t>
      </w:r>
      <w:proofErr w:type="gramEnd"/>
      <w:r>
        <w:t xml:space="preserve"> card number</w:t>
      </w:r>
    </w:p>
    <w:p w:rsidR="00016B7B" w:rsidRPr="00016B7B" w:rsidRDefault="00016B7B" w:rsidP="00016B7B">
      <w:pPr>
        <w:pStyle w:val="ListParagraph"/>
        <w:numPr>
          <w:ilvl w:val="1"/>
          <w:numId w:val="2"/>
        </w:numPr>
        <w:rPr>
          <w:u w:val="single"/>
        </w:rPr>
      </w:pPr>
      <w:proofErr w:type="gramStart"/>
      <w:r>
        <w:t>expiration</w:t>
      </w:r>
      <w:proofErr w:type="gramEnd"/>
      <w:r>
        <w:t xml:space="preserve"> date</w:t>
      </w:r>
    </w:p>
    <w:p w:rsidR="00016B7B" w:rsidRPr="00016B7B" w:rsidRDefault="00016B7B" w:rsidP="00016B7B">
      <w:pPr>
        <w:pStyle w:val="ListParagraph"/>
        <w:numPr>
          <w:ilvl w:val="1"/>
          <w:numId w:val="2"/>
        </w:numPr>
        <w:rPr>
          <w:u w:val="single"/>
        </w:rPr>
      </w:pPr>
      <w:proofErr w:type="gramStart"/>
      <w:r>
        <w:t>security</w:t>
      </w:r>
      <w:proofErr w:type="gramEnd"/>
      <w:r>
        <w:t xml:space="preserve"> code of the card</w:t>
      </w:r>
    </w:p>
    <w:p w:rsidR="00317AE1" w:rsidRPr="00317AE1" w:rsidRDefault="00317AE1" w:rsidP="00317AE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Upon completion, </w:t>
      </w:r>
      <w:proofErr w:type="gramStart"/>
      <w:r>
        <w:t xml:space="preserve">click </w:t>
      </w:r>
      <w:r w:rsidRPr="00317AE1">
        <w:rPr>
          <w:b/>
        </w:rPr>
        <w:t>SUBMIT</w:t>
      </w:r>
      <w:proofErr w:type="gramEnd"/>
      <w:r w:rsidRPr="00317AE1">
        <w:rPr>
          <w:b/>
        </w:rPr>
        <w:t>.</w:t>
      </w:r>
    </w:p>
    <w:p w:rsidR="00146B8A" w:rsidRPr="0057152D" w:rsidRDefault="00016B7B" w:rsidP="00146B8A">
      <w:pPr>
        <w:pStyle w:val="ListParagraph"/>
        <w:numPr>
          <w:ilvl w:val="0"/>
          <w:numId w:val="2"/>
        </w:numPr>
        <w:rPr>
          <w:b/>
        </w:rPr>
      </w:pPr>
      <w:r>
        <w:t>The last</w:t>
      </w:r>
      <w:r w:rsidR="002C2A8D">
        <w:t xml:space="preserve"> page of the application is</w:t>
      </w:r>
      <w:r>
        <w:t xml:space="preserve"> the confirmation report. </w:t>
      </w:r>
      <w:r w:rsidR="002C2A8D" w:rsidRPr="00317AE1">
        <w:rPr>
          <w:b/>
        </w:rPr>
        <w:t>Print</w:t>
      </w:r>
      <w:r>
        <w:t xml:space="preserve"> the confirmation report and retain</w:t>
      </w:r>
      <w:r w:rsidR="002C2A8D">
        <w:t xml:space="preserve"> it for you</w:t>
      </w:r>
      <w:r>
        <w:t>r records</w:t>
      </w:r>
      <w:r w:rsidR="002C2A8D">
        <w:t>.</w:t>
      </w:r>
      <w:r>
        <w:t xml:space="preserve"> </w:t>
      </w:r>
    </w:p>
    <w:sectPr w:rsidR="00146B8A" w:rsidRPr="0057152D" w:rsidSect="00C14A4C">
      <w:pgSz w:w="12240" w:h="15840"/>
      <w:pgMar w:top="63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FDD"/>
    <w:multiLevelType w:val="hybridMultilevel"/>
    <w:tmpl w:val="7C6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1E3F"/>
    <w:multiLevelType w:val="hybridMultilevel"/>
    <w:tmpl w:val="E792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5A83"/>
    <w:multiLevelType w:val="hybridMultilevel"/>
    <w:tmpl w:val="4C9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8A"/>
    <w:rsid w:val="00016B7B"/>
    <w:rsid w:val="00041E7E"/>
    <w:rsid w:val="000601FF"/>
    <w:rsid w:val="000A1C1F"/>
    <w:rsid w:val="00146329"/>
    <w:rsid w:val="00146B8A"/>
    <w:rsid w:val="0016034E"/>
    <w:rsid w:val="00180D86"/>
    <w:rsid w:val="00190D11"/>
    <w:rsid w:val="001D624B"/>
    <w:rsid w:val="001E2996"/>
    <w:rsid w:val="001F5705"/>
    <w:rsid w:val="00222690"/>
    <w:rsid w:val="002830EA"/>
    <w:rsid w:val="002B691F"/>
    <w:rsid w:val="002C2A8D"/>
    <w:rsid w:val="002F679B"/>
    <w:rsid w:val="00317AE1"/>
    <w:rsid w:val="00361023"/>
    <w:rsid w:val="003B6B4A"/>
    <w:rsid w:val="003B7E9F"/>
    <w:rsid w:val="003F0BF7"/>
    <w:rsid w:val="00465A41"/>
    <w:rsid w:val="0057152D"/>
    <w:rsid w:val="00612799"/>
    <w:rsid w:val="006810E0"/>
    <w:rsid w:val="006B1989"/>
    <w:rsid w:val="006D0FBA"/>
    <w:rsid w:val="0076157D"/>
    <w:rsid w:val="00816714"/>
    <w:rsid w:val="0082793A"/>
    <w:rsid w:val="008C1475"/>
    <w:rsid w:val="009216DB"/>
    <w:rsid w:val="00966FD7"/>
    <w:rsid w:val="00975DB3"/>
    <w:rsid w:val="00A11B33"/>
    <w:rsid w:val="00A16DC3"/>
    <w:rsid w:val="00A41BD5"/>
    <w:rsid w:val="00A6575D"/>
    <w:rsid w:val="00B07182"/>
    <w:rsid w:val="00BD29F2"/>
    <w:rsid w:val="00C01A68"/>
    <w:rsid w:val="00C14A4C"/>
    <w:rsid w:val="00C50CC3"/>
    <w:rsid w:val="00C5366C"/>
    <w:rsid w:val="00CA3EFE"/>
    <w:rsid w:val="00CA5D8E"/>
    <w:rsid w:val="00CC7C9A"/>
    <w:rsid w:val="00DB6019"/>
    <w:rsid w:val="00E27424"/>
    <w:rsid w:val="00E550C6"/>
    <w:rsid w:val="00E73A5C"/>
    <w:rsid w:val="00F017D2"/>
    <w:rsid w:val="00F904E2"/>
    <w:rsid w:val="00FB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studenthealth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cavallio@udel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wreports.sterlingdirect.com/consumer/contractor.a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79A40E1231F4385F20BE9929DC87F" ma:contentTypeVersion="2" ma:contentTypeDescription="Create a new document." ma:contentTypeScope="" ma:versionID="e1d7e63165bfd0ba3235c7ce0754d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95795-6C14-43ED-83C8-E00854E7370C}"/>
</file>

<file path=customXml/itemProps2.xml><?xml version="1.0" encoding="utf-8"?>
<ds:datastoreItem xmlns:ds="http://schemas.openxmlformats.org/officeDocument/2006/customXml" ds:itemID="{BC429050-2F0C-4328-BB7A-1997539A7B49}"/>
</file>

<file path=customXml/itemProps3.xml><?xml version="1.0" encoding="utf-8"?>
<ds:datastoreItem xmlns:ds="http://schemas.openxmlformats.org/officeDocument/2006/customXml" ds:itemID="{DCA13C60-335C-4402-BDA2-2A8B34DD9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ENGL295 13S Clearance Procedures</dc:title>
  <dc:creator>Carol Phipps</dc:creator>
  <cp:lastModifiedBy>Jill Flynn</cp:lastModifiedBy>
  <cp:revision>2</cp:revision>
  <cp:lastPrinted>2012-10-19T19:10:00Z</cp:lastPrinted>
  <dcterms:created xsi:type="dcterms:W3CDTF">2012-12-06T20:35:00Z</dcterms:created>
  <dcterms:modified xsi:type="dcterms:W3CDTF">2012-12-06T20:35:00Z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0x0101001BF79A40E1231F4385F20BE9929DC87F</vt:lpwstr>
  </property>
</Properties>
</file>